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AF1" w:rsidRPr="00E115B1" w:rsidRDefault="00791AF1" w:rsidP="00791AF1">
      <w:pPr>
        <w:jc w:val="center"/>
        <w:rPr>
          <w:b/>
        </w:rPr>
      </w:pPr>
      <w:r>
        <w:rPr>
          <w:b/>
          <w:noProof/>
          <w:lang w:eastAsia="en-GB"/>
        </w:rPr>
        <w:drawing>
          <wp:inline distT="0" distB="0" distL="0" distR="0">
            <wp:extent cx="1438275" cy="342900"/>
            <wp:effectExtent l="0" t="0" r="9525" b="0"/>
            <wp:docPr id="1" name="Picture 1" descr="W_Marqu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275" cy="342900"/>
                    </a:xfrm>
                    <a:prstGeom prst="rect">
                      <a:avLst/>
                    </a:prstGeom>
                    <a:noFill/>
                    <a:ln>
                      <a:noFill/>
                    </a:ln>
                  </pic:spPr>
                </pic:pic>
              </a:graphicData>
            </a:graphic>
          </wp:inline>
        </w:drawing>
      </w:r>
    </w:p>
    <w:p w:rsidR="00791AF1" w:rsidRPr="00E115B1" w:rsidRDefault="00791AF1" w:rsidP="00791AF1">
      <w:pPr>
        <w:pStyle w:val="Caption"/>
        <w:rPr>
          <w:sz w:val="22"/>
        </w:rPr>
      </w:pPr>
      <w:r w:rsidRPr="00E115B1">
        <w:rPr>
          <w:sz w:val="22"/>
        </w:rPr>
        <w:t>Group Project</w:t>
      </w:r>
    </w:p>
    <w:p w:rsidR="00791AF1" w:rsidRPr="00E115B1" w:rsidRDefault="00791AF1" w:rsidP="00791AF1">
      <w:pPr>
        <w:spacing w:after="0"/>
        <w:jc w:val="center"/>
        <w:rPr>
          <w:b/>
        </w:rPr>
      </w:pPr>
      <w:r w:rsidRPr="00E115B1">
        <w:rPr>
          <w:b/>
        </w:rPr>
        <w:t>Interim Group Report Assessment Sheet</w:t>
      </w:r>
    </w:p>
    <w:p w:rsidR="00791AF1" w:rsidRPr="00E115B1" w:rsidRDefault="00791AF1" w:rsidP="00791AF1">
      <w:pPr>
        <w:rPr>
          <w:bC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242"/>
      </w:tblGrid>
      <w:tr w:rsidR="00791AF1" w:rsidRPr="00E115B1" w:rsidTr="00791AF1">
        <w:trPr>
          <w:trHeight w:val="1097"/>
        </w:trPr>
        <w:tc>
          <w:tcPr>
            <w:tcW w:w="9242" w:type="dxa"/>
          </w:tcPr>
          <w:p w:rsidR="00791AF1" w:rsidRPr="00E115B1" w:rsidRDefault="00791AF1" w:rsidP="004D5DAB">
            <w:pPr>
              <w:rPr>
                <w:b/>
              </w:rPr>
            </w:pPr>
            <w:r w:rsidRPr="00E115B1">
              <w:rPr>
                <w:b/>
              </w:rPr>
              <w:t>Group Name/Student Names:</w:t>
            </w:r>
            <w:r w:rsidR="005F571C">
              <w:rPr>
                <w:b/>
              </w:rPr>
              <w:t xml:space="preserve"> A</w:t>
            </w:r>
            <w:r w:rsidR="00702701">
              <w:rPr>
                <w:b/>
              </w:rPr>
              <w:br/>
            </w:r>
            <w:proofErr w:type="spellStart"/>
            <w:r w:rsidR="00702701" w:rsidRPr="00E0259D">
              <w:t>Adesegun</w:t>
            </w:r>
            <w:proofErr w:type="spellEnd"/>
            <w:r w:rsidR="00702701" w:rsidRPr="00E0259D">
              <w:t xml:space="preserve"> </w:t>
            </w:r>
            <w:proofErr w:type="spellStart"/>
            <w:r w:rsidR="00702701" w:rsidRPr="00E0259D">
              <w:t>Adepegba</w:t>
            </w:r>
            <w:proofErr w:type="spellEnd"/>
            <w:r w:rsidR="00702701" w:rsidRPr="00E0259D">
              <w:t xml:space="preserve">, Faisal Ahmed, Raymond Laguna, Jun </w:t>
            </w:r>
            <w:proofErr w:type="spellStart"/>
            <w:r w:rsidR="00702701" w:rsidRPr="00E0259D">
              <w:t>Hoong</w:t>
            </w:r>
            <w:proofErr w:type="spellEnd"/>
            <w:r w:rsidR="00702701" w:rsidRPr="00E0259D">
              <w:t xml:space="preserve"> Yew, Jonas Chan Leong Sean, Kok Li Lee, Matthew Cottrell, Thomas Mackay-Smith</w:t>
            </w:r>
          </w:p>
          <w:p w:rsidR="00791AF1" w:rsidRPr="00E115B1" w:rsidRDefault="00E0259D" w:rsidP="004D5DAB">
            <w:pPr>
              <w:rPr>
                <w:b/>
              </w:rPr>
            </w:pPr>
            <w:r>
              <w:rPr>
                <w:b/>
              </w:rPr>
              <w:t>S</w:t>
            </w:r>
            <w:r w:rsidR="00791AF1" w:rsidRPr="00E115B1">
              <w:rPr>
                <w:b/>
              </w:rPr>
              <w:t xml:space="preserve">upervisor: </w:t>
            </w:r>
            <w:r w:rsidR="005F571C">
              <w:rPr>
                <w:b/>
              </w:rPr>
              <w:t>Tim Jackson</w:t>
            </w:r>
          </w:p>
        </w:tc>
      </w:tr>
    </w:tbl>
    <w:p w:rsidR="00791AF1" w:rsidRDefault="00791AF1" w:rsidP="00791AF1">
      <w:pPr>
        <w:pStyle w:val="BodyText"/>
      </w:pPr>
    </w:p>
    <w:p w:rsidR="00791AF1" w:rsidRDefault="00791AF1" w:rsidP="00791AF1">
      <w:pPr>
        <w:pStyle w:val="BodyText"/>
      </w:pPr>
    </w:p>
    <w:p w:rsidR="00791AF1" w:rsidRPr="00E115B1" w:rsidRDefault="00791AF1" w:rsidP="00791AF1">
      <w:pPr>
        <w:pStyle w:val="BodyText"/>
      </w:pPr>
      <w:r w:rsidRPr="00E115B1">
        <w:t>The following sections are intended to provide feedback about your performance.</w:t>
      </w:r>
    </w:p>
    <w:tbl>
      <w:tblPr>
        <w:tblW w:w="9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4158"/>
        <w:gridCol w:w="732"/>
        <w:gridCol w:w="733"/>
        <w:gridCol w:w="733"/>
        <w:gridCol w:w="733"/>
        <w:gridCol w:w="733"/>
        <w:gridCol w:w="733"/>
        <w:gridCol w:w="733"/>
      </w:tblGrid>
      <w:tr w:rsidR="00791AF1" w:rsidRPr="00E115B1" w:rsidTr="004D5DAB">
        <w:trPr>
          <w:trHeight w:val="639"/>
        </w:trPr>
        <w:tc>
          <w:tcPr>
            <w:tcW w:w="4158" w:type="dxa"/>
          </w:tcPr>
          <w:p w:rsidR="00791AF1" w:rsidRPr="00E115B1" w:rsidRDefault="00791AF1" w:rsidP="004D5DAB">
            <w:pPr>
              <w:rPr>
                <w:b/>
              </w:rPr>
            </w:pPr>
            <w:r w:rsidRPr="00E115B1">
              <w:rPr>
                <w:b/>
              </w:rPr>
              <w:t>Group Writing Skills (25% of overall mark)</w:t>
            </w:r>
          </w:p>
        </w:tc>
        <w:tc>
          <w:tcPr>
            <w:tcW w:w="732" w:type="dxa"/>
          </w:tcPr>
          <w:p w:rsidR="00791AF1" w:rsidRPr="00E115B1" w:rsidRDefault="00791AF1" w:rsidP="004D5DAB">
            <w:pPr>
              <w:jc w:val="center"/>
              <w:rPr>
                <w:bCs/>
              </w:rPr>
            </w:pPr>
            <w:r w:rsidRPr="00E115B1">
              <w:rPr>
                <w:bCs/>
              </w:rPr>
              <w:t>1</w:t>
            </w:r>
            <w:r w:rsidRPr="00E115B1">
              <w:rPr>
                <w:bCs/>
                <w:vertAlign w:val="superscript"/>
              </w:rPr>
              <w:t>+</w:t>
            </w:r>
          </w:p>
        </w:tc>
        <w:tc>
          <w:tcPr>
            <w:tcW w:w="733" w:type="dxa"/>
          </w:tcPr>
          <w:p w:rsidR="00791AF1" w:rsidRPr="00E115B1" w:rsidRDefault="00791AF1" w:rsidP="004D5DAB">
            <w:pPr>
              <w:jc w:val="center"/>
              <w:rPr>
                <w:bCs/>
              </w:rPr>
            </w:pPr>
            <w:r w:rsidRPr="00E115B1">
              <w:rPr>
                <w:bCs/>
              </w:rPr>
              <w:t>1</w:t>
            </w:r>
            <w:r w:rsidRPr="00E115B1">
              <w:rPr>
                <w:bCs/>
                <w:vertAlign w:val="superscript"/>
              </w:rPr>
              <w:t>-</w:t>
            </w:r>
          </w:p>
        </w:tc>
        <w:tc>
          <w:tcPr>
            <w:tcW w:w="733" w:type="dxa"/>
          </w:tcPr>
          <w:p w:rsidR="00791AF1" w:rsidRPr="00E115B1" w:rsidRDefault="00791AF1" w:rsidP="004D5DAB">
            <w:pPr>
              <w:jc w:val="center"/>
              <w:rPr>
                <w:bCs/>
              </w:rPr>
            </w:pPr>
            <w:r w:rsidRPr="00E115B1">
              <w:rPr>
                <w:bCs/>
              </w:rPr>
              <w:t>2.i</w:t>
            </w:r>
            <w:r w:rsidRPr="00E115B1">
              <w:rPr>
                <w:bCs/>
                <w:vertAlign w:val="superscript"/>
              </w:rPr>
              <w:t>+</w:t>
            </w:r>
          </w:p>
        </w:tc>
        <w:tc>
          <w:tcPr>
            <w:tcW w:w="733" w:type="dxa"/>
          </w:tcPr>
          <w:p w:rsidR="00791AF1" w:rsidRPr="00E115B1" w:rsidRDefault="00791AF1" w:rsidP="004D5DAB">
            <w:pPr>
              <w:jc w:val="center"/>
              <w:rPr>
                <w:bCs/>
              </w:rPr>
            </w:pPr>
            <w:r w:rsidRPr="00E115B1">
              <w:rPr>
                <w:bCs/>
              </w:rPr>
              <w:t>2.i</w:t>
            </w:r>
            <w:r w:rsidRPr="00E115B1">
              <w:rPr>
                <w:bCs/>
                <w:vertAlign w:val="superscript"/>
              </w:rPr>
              <w:t>-</w:t>
            </w:r>
          </w:p>
        </w:tc>
        <w:tc>
          <w:tcPr>
            <w:tcW w:w="733" w:type="dxa"/>
          </w:tcPr>
          <w:p w:rsidR="00791AF1" w:rsidRPr="00E115B1" w:rsidRDefault="00791AF1" w:rsidP="004D5DAB">
            <w:pPr>
              <w:jc w:val="center"/>
              <w:rPr>
                <w:bCs/>
              </w:rPr>
            </w:pPr>
            <w:r w:rsidRPr="00E115B1">
              <w:rPr>
                <w:bCs/>
              </w:rPr>
              <w:t>2.ii</w:t>
            </w:r>
            <w:r w:rsidRPr="00E115B1">
              <w:rPr>
                <w:bCs/>
                <w:vertAlign w:val="superscript"/>
              </w:rPr>
              <w:t>+</w:t>
            </w:r>
          </w:p>
        </w:tc>
        <w:tc>
          <w:tcPr>
            <w:tcW w:w="733" w:type="dxa"/>
          </w:tcPr>
          <w:p w:rsidR="00791AF1" w:rsidRPr="00E115B1" w:rsidRDefault="00791AF1" w:rsidP="004D5DAB">
            <w:pPr>
              <w:jc w:val="center"/>
              <w:rPr>
                <w:bCs/>
              </w:rPr>
            </w:pPr>
            <w:r w:rsidRPr="00E115B1">
              <w:rPr>
                <w:bCs/>
              </w:rPr>
              <w:t>2.ii</w:t>
            </w:r>
            <w:r w:rsidRPr="00E115B1">
              <w:rPr>
                <w:bCs/>
                <w:vertAlign w:val="superscript"/>
              </w:rPr>
              <w:t>-</w:t>
            </w:r>
          </w:p>
        </w:tc>
        <w:tc>
          <w:tcPr>
            <w:tcW w:w="733" w:type="dxa"/>
          </w:tcPr>
          <w:p w:rsidR="00791AF1" w:rsidRPr="00E115B1" w:rsidRDefault="00791AF1" w:rsidP="004D5DAB">
            <w:pPr>
              <w:jc w:val="center"/>
              <w:rPr>
                <w:bCs/>
              </w:rPr>
            </w:pPr>
            <w:r w:rsidRPr="00E115B1">
              <w:rPr>
                <w:bCs/>
              </w:rPr>
              <w:t>Fail</w:t>
            </w:r>
          </w:p>
        </w:tc>
      </w:tr>
      <w:tr w:rsidR="00791AF1" w:rsidRPr="00E115B1" w:rsidTr="004D5DAB">
        <w:trPr>
          <w:trHeight w:val="639"/>
        </w:trPr>
        <w:tc>
          <w:tcPr>
            <w:tcW w:w="4158" w:type="dxa"/>
          </w:tcPr>
          <w:p w:rsidR="00791AF1" w:rsidRPr="00E115B1" w:rsidRDefault="00791AF1" w:rsidP="00791AF1">
            <w:pPr>
              <w:spacing w:after="0"/>
              <w:rPr>
                <w:bCs/>
                <w:i/>
                <w:iCs/>
              </w:rPr>
            </w:pPr>
            <w:r w:rsidRPr="00E115B1">
              <w:rPr>
                <w:bCs/>
                <w:i/>
                <w:iCs/>
              </w:rPr>
              <w:t>Structure and fitness for purpose. Clear introduction, easy to read and general flow.</w:t>
            </w:r>
          </w:p>
        </w:tc>
        <w:tc>
          <w:tcPr>
            <w:tcW w:w="732" w:type="dxa"/>
          </w:tcPr>
          <w:p w:rsidR="00791AF1" w:rsidRPr="00E115B1" w:rsidRDefault="00791AF1" w:rsidP="004D5DAB">
            <w:pPr>
              <w:jc w:val="center"/>
              <w:rPr>
                <w:bCs/>
              </w:rPr>
            </w:pPr>
          </w:p>
        </w:tc>
        <w:tc>
          <w:tcPr>
            <w:tcW w:w="733" w:type="dxa"/>
          </w:tcPr>
          <w:p w:rsidR="00791AF1" w:rsidRPr="00E115B1" w:rsidRDefault="00791AF1" w:rsidP="004D5DAB">
            <w:pPr>
              <w:jc w:val="center"/>
              <w:rPr>
                <w:bCs/>
              </w:rPr>
            </w:pPr>
          </w:p>
        </w:tc>
        <w:tc>
          <w:tcPr>
            <w:tcW w:w="733" w:type="dxa"/>
          </w:tcPr>
          <w:p w:rsidR="00791AF1" w:rsidRPr="00E115B1" w:rsidRDefault="00791AF1" w:rsidP="004D5DAB">
            <w:pPr>
              <w:jc w:val="center"/>
              <w:rPr>
                <w:bCs/>
              </w:rPr>
            </w:pPr>
          </w:p>
        </w:tc>
        <w:tc>
          <w:tcPr>
            <w:tcW w:w="733" w:type="dxa"/>
          </w:tcPr>
          <w:p w:rsidR="00791AF1" w:rsidRPr="00E115B1" w:rsidRDefault="0004031B" w:rsidP="004D5DAB">
            <w:pPr>
              <w:jc w:val="center"/>
              <w:rPr>
                <w:bCs/>
              </w:rPr>
            </w:pPr>
            <w:r>
              <w:rPr>
                <w:bCs/>
              </w:rPr>
              <w:t>X</w:t>
            </w:r>
          </w:p>
        </w:tc>
        <w:tc>
          <w:tcPr>
            <w:tcW w:w="733" w:type="dxa"/>
          </w:tcPr>
          <w:p w:rsidR="00791AF1" w:rsidRPr="00E115B1" w:rsidRDefault="00791AF1" w:rsidP="004D5DAB">
            <w:pPr>
              <w:jc w:val="center"/>
              <w:rPr>
                <w:bCs/>
              </w:rPr>
            </w:pPr>
          </w:p>
        </w:tc>
        <w:tc>
          <w:tcPr>
            <w:tcW w:w="733" w:type="dxa"/>
          </w:tcPr>
          <w:p w:rsidR="00791AF1" w:rsidRPr="00E115B1" w:rsidRDefault="00791AF1" w:rsidP="004D5DAB">
            <w:pPr>
              <w:jc w:val="center"/>
              <w:rPr>
                <w:bCs/>
              </w:rPr>
            </w:pPr>
          </w:p>
        </w:tc>
        <w:tc>
          <w:tcPr>
            <w:tcW w:w="733" w:type="dxa"/>
          </w:tcPr>
          <w:p w:rsidR="00791AF1" w:rsidRPr="00E115B1" w:rsidRDefault="00791AF1" w:rsidP="004D5DAB">
            <w:pPr>
              <w:jc w:val="center"/>
              <w:rPr>
                <w:bCs/>
              </w:rPr>
            </w:pPr>
          </w:p>
        </w:tc>
      </w:tr>
    </w:tbl>
    <w:p w:rsidR="00791AF1" w:rsidRPr="00E115B1" w:rsidRDefault="00791AF1" w:rsidP="00791AF1">
      <w:pPr>
        <w:spacing w:after="120"/>
        <w:rPr>
          <w:bCs/>
        </w:rPr>
      </w:pPr>
    </w:p>
    <w:tbl>
      <w:tblPr>
        <w:tblW w:w="9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4158"/>
        <w:gridCol w:w="732"/>
        <w:gridCol w:w="733"/>
        <w:gridCol w:w="733"/>
        <w:gridCol w:w="733"/>
        <w:gridCol w:w="733"/>
        <w:gridCol w:w="733"/>
        <w:gridCol w:w="733"/>
      </w:tblGrid>
      <w:tr w:rsidR="00791AF1" w:rsidRPr="00E115B1" w:rsidTr="004D5DAB">
        <w:trPr>
          <w:trHeight w:val="639"/>
        </w:trPr>
        <w:tc>
          <w:tcPr>
            <w:tcW w:w="4158" w:type="dxa"/>
          </w:tcPr>
          <w:p w:rsidR="00791AF1" w:rsidRPr="00E115B1" w:rsidRDefault="00791AF1" w:rsidP="004D5DAB">
            <w:pPr>
              <w:rPr>
                <w:b/>
              </w:rPr>
            </w:pPr>
            <w:r w:rsidRPr="00E115B1">
              <w:rPr>
                <w:b/>
              </w:rPr>
              <w:t>Technical and Analytic Content (50% of overall mark)</w:t>
            </w:r>
          </w:p>
        </w:tc>
        <w:tc>
          <w:tcPr>
            <w:tcW w:w="732" w:type="dxa"/>
          </w:tcPr>
          <w:p w:rsidR="00791AF1" w:rsidRPr="00E115B1" w:rsidRDefault="00791AF1" w:rsidP="004D5DAB">
            <w:pPr>
              <w:jc w:val="center"/>
              <w:rPr>
                <w:bCs/>
              </w:rPr>
            </w:pPr>
            <w:r w:rsidRPr="00E115B1">
              <w:rPr>
                <w:bCs/>
              </w:rPr>
              <w:t>1</w:t>
            </w:r>
            <w:r w:rsidRPr="00E115B1">
              <w:rPr>
                <w:bCs/>
                <w:vertAlign w:val="superscript"/>
              </w:rPr>
              <w:t>+</w:t>
            </w:r>
          </w:p>
        </w:tc>
        <w:tc>
          <w:tcPr>
            <w:tcW w:w="733" w:type="dxa"/>
          </w:tcPr>
          <w:p w:rsidR="00791AF1" w:rsidRPr="00E115B1" w:rsidRDefault="00791AF1" w:rsidP="004D5DAB">
            <w:pPr>
              <w:jc w:val="center"/>
              <w:rPr>
                <w:bCs/>
              </w:rPr>
            </w:pPr>
            <w:r w:rsidRPr="00E115B1">
              <w:rPr>
                <w:bCs/>
              </w:rPr>
              <w:t>1</w:t>
            </w:r>
            <w:r w:rsidRPr="00E115B1">
              <w:rPr>
                <w:bCs/>
                <w:vertAlign w:val="superscript"/>
              </w:rPr>
              <w:t>-</w:t>
            </w:r>
          </w:p>
        </w:tc>
        <w:tc>
          <w:tcPr>
            <w:tcW w:w="733" w:type="dxa"/>
          </w:tcPr>
          <w:p w:rsidR="00791AF1" w:rsidRPr="00E115B1" w:rsidRDefault="00791AF1" w:rsidP="004D5DAB">
            <w:pPr>
              <w:jc w:val="center"/>
              <w:rPr>
                <w:bCs/>
              </w:rPr>
            </w:pPr>
            <w:r w:rsidRPr="00E115B1">
              <w:rPr>
                <w:bCs/>
              </w:rPr>
              <w:t>2.i</w:t>
            </w:r>
            <w:r w:rsidRPr="00E115B1">
              <w:rPr>
                <w:bCs/>
                <w:vertAlign w:val="superscript"/>
              </w:rPr>
              <w:t>+</w:t>
            </w:r>
          </w:p>
        </w:tc>
        <w:tc>
          <w:tcPr>
            <w:tcW w:w="733" w:type="dxa"/>
          </w:tcPr>
          <w:p w:rsidR="00791AF1" w:rsidRPr="00E115B1" w:rsidRDefault="00791AF1" w:rsidP="004D5DAB">
            <w:pPr>
              <w:jc w:val="center"/>
              <w:rPr>
                <w:bCs/>
              </w:rPr>
            </w:pPr>
            <w:r w:rsidRPr="00E115B1">
              <w:rPr>
                <w:bCs/>
              </w:rPr>
              <w:t>2.i</w:t>
            </w:r>
            <w:r w:rsidRPr="00E115B1">
              <w:rPr>
                <w:bCs/>
                <w:vertAlign w:val="superscript"/>
              </w:rPr>
              <w:t>-</w:t>
            </w:r>
          </w:p>
        </w:tc>
        <w:tc>
          <w:tcPr>
            <w:tcW w:w="733" w:type="dxa"/>
          </w:tcPr>
          <w:p w:rsidR="00791AF1" w:rsidRPr="00E115B1" w:rsidRDefault="00791AF1" w:rsidP="004D5DAB">
            <w:pPr>
              <w:jc w:val="center"/>
              <w:rPr>
                <w:bCs/>
              </w:rPr>
            </w:pPr>
            <w:r w:rsidRPr="00E115B1">
              <w:rPr>
                <w:bCs/>
              </w:rPr>
              <w:t>2.ii</w:t>
            </w:r>
            <w:r w:rsidRPr="00E115B1">
              <w:rPr>
                <w:bCs/>
                <w:vertAlign w:val="superscript"/>
              </w:rPr>
              <w:t>+</w:t>
            </w:r>
          </w:p>
        </w:tc>
        <w:tc>
          <w:tcPr>
            <w:tcW w:w="733" w:type="dxa"/>
          </w:tcPr>
          <w:p w:rsidR="00791AF1" w:rsidRPr="00E115B1" w:rsidRDefault="00791AF1" w:rsidP="004D5DAB">
            <w:pPr>
              <w:jc w:val="center"/>
              <w:rPr>
                <w:bCs/>
              </w:rPr>
            </w:pPr>
            <w:r w:rsidRPr="00E115B1">
              <w:rPr>
                <w:bCs/>
              </w:rPr>
              <w:t>2.ii</w:t>
            </w:r>
            <w:r w:rsidRPr="00E115B1">
              <w:rPr>
                <w:bCs/>
                <w:vertAlign w:val="superscript"/>
              </w:rPr>
              <w:t>-</w:t>
            </w:r>
          </w:p>
        </w:tc>
        <w:tc>
          <w:tcPr>
            <w:tcW w:w="733" w:type="dxa"/>
          </w:tcPr>
          <w:p w:rsidR="00791AF1" w:rsidRPr="00E115B1" w:rsidRDefault="00791AF1" w:rsidP="004D5DAB">
            <w:pPr>
              <w:jc w:val="center"/>
              <w:rPr>
                <w:bCs/>
              </w:rPr>
            </w:pPr>
            <w:r w:rsidRPr="00E115B1">
              <w:rPr>
                <w:bCs/>
              </w:rPr>
              <w:t>Fail</w:t>
            </w:r>
          </w:p>
        </w:tc>
      </w:tr>
      <w:tr w:rsidR="00791AF1" w:rsidRPr="00E115B1" w:rsidTr="004D5DAB">
        <w:trPr>
          <w:trHeight w:val="639"/>
        </w:trPr>
        <w:tc>
          <w:tcPr>
            <w:tcW w:w="4158" w:type="dxa"/>
          </w:tcPr>
          <w:p w:rsidR="00791AF1" w:rsidRPr="00E115B1" w:rsidRDefault="00791AF1" w:rsidP="00791AF1">
            <w:pPr>
              <w:spacing w:after="0"/>
              <w:rPr>
                <w:bCs/>
                <w:i/>
                <w:iCs/>
              </w:rPr>
            </w:pPr>
            <w:r w:rsidRPr="00E115B1">
              <w:rPr>
                <w:bCs/>
                <w:i/>
                <w:iCs/>
              </w:rPr>
              <w:t>Analytic understanding of the problem.</w:t>
            </w:r>
          </w:p>
        </w:tc>
        <w:tc>
          <w:tcPr>
            <w:tcW w:w="732" w:type="dxa"/>
          </w:tcPr>
          <w:p w:rsidR="00791AF1" w:rsidRPr="00E115B1" w:rsidRDefault="00791AF1" w:rsidP="00791AF1">
            <w:pPr>
              <w:spacing w:after="0"/>
              <w:jc w:val="center"/>
              <w:rPr>
                <w:bCs/>
              </w:rPr>
            </w:pPr>
          </w:p>
        </w:tc>
        <w:tc>
          <w:tcPr>
            <w:tcW w:w="733" w:type="dxa"/>
          </w:tcPr>
          <w:p w:rsidR="00791AF1" w:rsidRPr="00E115B1" w:rsidRDefault="00791AF1" w:rsidP="00791AF1">
            <w:pPr>
              <w:spacing w:after="0"/>
              <w:jc w:val="center"/>
              <w:rPr>
                <w:bCs/>
              </w:rPr>
            </w:pPr>
          </w:p>
        </w:tc>
        <w:tc>
          <w:tcPr>
            <w:tcW w:w="733" w:type="dxa"/>
          </w:tcPr>
          <w:p w:rsidR="00791AF1" w:rsidRPr="00E115B1" w:rsidRDefault="00791AF1" w:rsidP="00791AF1">
            <w:pPr>
              <w:spacing w:after="0"/>
              <w:jc w:val="center"/>
              <w:rPr>
                <w:bCs/>
              </w:rPr>
            </w:pPr>
          </w:p>
        </w:tc>
        <w:tc>
          <w:tcPr>
            <w:tcW w:w="733" w:type="dxa"/>
          </w:tcPr>
          <w:p w:rsidR="00791AF1" w:rsidRPr="00E115B1" w:rsidRDefault="0004031B" w:rsidP="00791AF1">
            <w:pPr>
              <w:spacing w:after="0"/>
              <w:jc w:val="center"/>
              <w:rPr>
                <w:bCs/>
              </w:rPr>
            </w:pPr>
            <w:r>
              <w:rPr>
                <w:bCs/>
              </w:rPr>
              <w:t>X</w:t>
            </w:r>
          </w:p>
        </w:tc>
        <w:tc>
          <w:tcPr>
            <w:tcW w:w="733" w:type="dxa"/>
          </w:tcPr>
          <w:p w:rsidR="00791AF1" w:rsidRPr="00E115B1" w:rsidRDefault="00791AF1" w:rsidP="00791AF1">
            <w:pPr>
              <w:spacing w:after="0"/>
              <w:jc w:val="center"/>
              <w:rPr>
                <w:bCs/>
              </w:rPr>
            </w:pPr>
          </w:p>
        </w:tc>
        <w:tc>
          <w:tcPr>
            <w:tcW w:w="733" w:type="dxa"/>
          </w:tcPr>
          <w:p w:rsidR="00791AF1" w:rsidRPr="00E115B1" w:rsidRDefault="00791AF1" w:rsidP="00791AF1">
            <w:pPr>
              <w:spacing w:after="0"/>
              <w:jc w:val="center"/>
              <w:rPr>
                <w:bCs/>
              </w:rPr>
            </w:pPr>
          </w:p>
        </w:tc>
        <w:tc>
          <w:tcPr>
            <w:tcW w:w="733" w:type="dxa"/>
          </w:tcPr>
          <w:p w:rsidR="00791AF1" w:rsidRPr="00E115B1" w:rsidRDefault="00791AF1" w:rsidP="00791AF1">
            <w:pPr>
              <w:spacing w:after="0"/>
              <w:jc w:val="center"/>
              <w:rPr>
                <w:bCs/>
              </w:rPr>
            </w:pPr>
          </w:p>
        </w:tc>
      </w:tr>
    </w:tbl>
    <w:p w:rsidR="00791AF1" w:rsidRPr="00E115B1" w:rsidRDefault="00791AF1" w:rsidP="00791AF1">
      <w:pPr>
        <w:spacing w:after="120"/>
        <w:rPr>
          <w:bCs/>
        </w:rPr>
      </w:pPr>
    </w:p>
    <w:tbl>
      <w:tblPr>
        <w:tblW w:w="9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4158"/>
        <w:gridCol w:w="732"/>
        <w:gridCol w:w="733"/>
        <w:gridCol w:w="733"/>
        <w:gridCol w:w="733"/>
        <w:gridCol w:w="733"/>
        <w:gridCol w:w="733"/>
        <w:gridCol w:w="733"/>
      </w:tblGrid>
      <w:tr w:rsidR="00791AF1" w:rsidRPr="00E115B1" w:rsidTr="004D5DAB">
        <w:trPr>
          <w:trHeight w:val="760"/>
        </w:trPr>
        <w:tc>
          <w:tcPr>
            <w:tcW w:w="4158" w:type="dxa"/>
          </w:tcPr>
          <w:p w:rsidR="00791AF1" w:rsidRPr="00E115B1" w:rsidRDefault="00791AF1" w:rsidP="00791AF1">
            <w:pPr>
              <w:spacing w:after="0"/>
              <w:rPr>
                <w:b/>
              </w:rPr>
            </w:pPr>
            <w:r w:rsidRPr="00E115B1">
              <w:rPr>
                <w:b/>
              </w:rPr>
              <w:t>The Future (25% of overall mark)</w:t>
            </w:r>
          </w:p>
        </w:tc>
        <w:tc>
          <w:tcPr>
            <w:tcW w:w="732" w:type="dxa"/>
          </w:tcPr>
          <w:p w:rsidR="00791AF1" w:rsidRPr="00E115B1" w:rsidRDefault="00791AF1" w:rsidP="004D5DAB">
            <w:pPr>
              <w:jc w:val="center"/>
              <w:rPr>
                <w:bCs/>
              </w:rPr>
            </w:pPr>
            <w:r w:rsidRPr="00E115B1">
              <w:rPr>
                <w:bCs/>
              </w:rPr>
              <w:t>1</w:t>
            </w:r>
            <w:r w:rsidRPr="00E115B1">
              <w:rPr>
                <w:bCs/>
                <w:vertAlign w:val="superscript"/>
              </w:rPr>
              <w:t>+</w:t>
            </w:r>
          </w:p>
        </w:tc>
        <w:tc>
          <w:tcPr>
            <w:tcW w:w="733" w:type="dxa"/>
          </w:tcPr>
          <w:p w:rsidR="00791AF1" w:rsidRPr="00E115B1" w:rsidRDefault="00791AF1" w:rsidP="004D5DAB">
            <w:pPr>
              <w:jc w:val="center"/>
              <w:rPr>
                <w:bCs/>
              </w:rPr>
            </w:pPr>
            <w:r w:rsidRPr="00E115B1">
              <w:rPr>
                <w:bCs/>
              </w:rPr>
              <w:t>1</w:t>
            </w:r>
            <w:r w:rsidRPr="00E115B1">
              <w:rPr>
                <w:bCs/>
                <w:vertAlign w:val="superscript"/>
              </w:rPr>
              <w:t>-</w:t>
            </w:r>
          </w:p>
        </w:tc>
        <w:tc>
          <w:tcPr>
            <w:tcW w:w="733" w:type="dxa"/>
          </w:tcPr>
          <w:p w:rsidR="00791AF1" w:rsidRPr="00E115B1" w:rsidRDefault="00791AF1" w:rsidP="004D5DAB">
            <w:pPr>
              <w:jc w:val="center"/>
              <w:rPr>
                <w:bCs/>
              </w:rPr>
            </w:pPr>
            <w:r w:rsidRPr="00E115B1">
              <w:rPr>
                <w:bCs/>
              </w:rPr>
              <w:t>2.i</w:t>
            </w:r>
            <w:r w:rsidRPr="00E115B1">
              <w:rPr>
                <w:bCs/>
                <w:vertAlign w:val="superscript"/>
              </w:rPr>
              <w:t>+</w:t>
            </w:r>
          </w:p>
        </w:tc>
        <w:tc>
          <w:tcPr>
            <w:tcW w:w="733" w:type="dxa"/>
          </w:tcPr>
          <w:p w:rsidR="00791AF1" w:rsidRPr="00E115B1" w:rsidRDefault="00791AF1" w:rsidP="004D5DAB">
            <w:pPr>
              <w:jc w:val="center"/>
              <w:rPr>
                <w:bCs/>
              </w:rPr>
            </w:pPr>
            <w:r w:rsidRPr="00E115B1">
              <w:rPr>
                <w:bCs/>
              </w:rPr>
              <w:t>2.i</w:t>
            </w:r>
            <w:r w:rsidRPr="00E115B1">
              <w:rPr>
                <w:bCs/>
                <w:vertAlign w:val="superscript"/>
              </w:rPr>
              <w:t>-</w:t>
            </w:r>
          </w:p>
        </w:tc>
        <w:tc>
          <w:tcPr>
            <w:tcW w:w="733" w:type="dxa"/>
          </w:tcPr>
          <w:p w:rsidR="00791AF1" w:rsidRPr="00E115B1" w:rsidRDefault="00791AF1" w:rsidP="004D5DAB">
            <w:pPr>
              <w:jc w:val="center"/>
              <w:rPr>
                <w:bCs/>
              </w:rPr>
            </w:pPr>
            <w:r w:rsidRPr="00E115B1">
              <w:rPr>
                <w:bCs/>
              </w:rPr>
              <w:t>2.ii</w:t>
            </w:r>
            <w:r w:rsidRPr="00E115B1">
              <w:rPr>
                <w:bCs/>
                <w:vertAlign w:val="superscript"/>
              </w:rPr>
              <w:t>+</w:t>
            </w:r>
          </w:p>
        </w:tc>
        <w:tc>
          <w:tcPr>
            <w:tcW w:w="733" w:type="dxa"/>
          </w:tcPr>
          <w:p w:rsidR="00791AF1" w:rsidRPr="00E115B1" w:rsidRDefault="00791AF1" w:rsidP="004D5DAB">
            <w:pPr>
              <w:jc w:val="center"/>
              <w:rPr>
                <w:bCs/>
              </w:rPr>
            </w:pPr>
            <w:r w:rsidRPr="00E115B1">
              <w:rPr>
                <w:bCs/>
              </w:rPr>
              <w:t>2.ii</w:t>
            </w:r>
            <w:r w:rsidRPr="00E115B1">
              <w:rPr>
                <w:bCs/>
                <w:vertAlign w:val="superscript"/>
              </w:rPr>
              <w:t>-</w:t>
            </w:r>
          </w:p>
        </w:tc>
        <w:tc>
          <w:tcPr>
            <w:tcW w:w="733" w:type="dxa"/>
          </w:tcPr>
          <w:p w:rsidR="00791AF1" w:rsidRPr="00E115B1" w:rsidRDefault="00791AF1" w:rsidP="004D5DAB">
            <w:pPr>
              <w:jc w:val="center"/>
              <w:rPr>
                <w:bCs/>
              </w:rPr>
            </w:pPr>
            <w:r w:rsidRPr="00E115B1">
              <w:rPr>
                <w:bCs/>
              </w:rPr>
              <w:t>Fail</w:t>
            </w:r>
          </w:p>
        </w:tc>
      </w:tr>
      <w:tr w:rsidR="00791AF1" w:rsidRPr="00E115B1" w:rsidTr="00791AF1">
        <w:trPr>
          <w:trHeight w:val="840"/>
        </w:trPr>
        <w:tc>
          <w:tcPr>
            <w:tcW w:w="4158" w:type="dxa"/>
          </w:tcPr>
          <w:p w:rsidR="00791AF1" w:rsidRPr="00E115B1" w:rsidRDefault="00791AF1" w:rsidP="00791AF1">
            <w:pPr>
              <w:spacing w:after="0"/>
              <w:rPr>
                <w:bCs/>
                <w:i/>
                <w:iCs/>
              </w:rPr>
            </w:pPr>
            <w:r w:rsidRPr="00E115B1">
              <w:rPr>
                <w:bCs/>
              </w:rPr>
              <w:t xml:space="preserve">Technical merit of proposals for completing the project. Adequacy and appropriateness of </w:t>
            </w:r>
            <w:proofErr w:type="spellStart"/>
            <w:r w:rsidRPr="00E115B1">
              <w:rPr>
                <w:bCs/>
              </w:rPr>
              <w:t>workplan</w:t>
            </w:r>
            <w:proofErr w:type="spellEnd"/>
            <w:r w:rsidRPr="00E115B1">
              <w:rPr>
                <w:bCs/>
              </w:rPr>
              <w:t>.</w:t>
            </w:r>
          </w:p>
        </w:tc>
        <w:tc>
          <w:tcPr>
            <w:tcW w:w="732" w:type="dxa"/>
          </w:tcPr>
          <w:p w:rsidR="00791AF1" w:rsidRPr="00E115B1" w:rsidRDefault="00791AF1" w:rsidP="004D5DAB">
            <w:pPr>
              <w:jc w:val="center"/>
              <w:rPr>
                <w:bCs/>
              </w:rPr>
            </w:pPr>
          </w:p>
        </w:tc>
        <w:tc>
          <w:tcPr>
            <w:tcW w:w="733" w:type="dxa"/>
          </w:tcPr>
          <w:p w:rsidR="00791AF1" w:rsidRPr="00E115B1" w:rsidRDefault="00791AF1" w:rsidP="004D5DAB">
            <w:pPr>
              <w:jc w:val="center"/>
              <w:rPr>
                <w:bCs/>
              </w:rPr>
            </w:pPr>
          </w:p>
        </w:tc>
        <w:tc>
          <w:tcPr>
            <w:tcW w:w="733" w:type="dxa"/>
          </w:tcPr>
          <w:p w:rsidR="00791AF1" w:rsidRPr="00E115B1" w:rsidRDefault="00791AF1" w:rsidP="004D5DAB">
            <w:pPr>
              <w:jc w:val="center"/>
              <w:rPr>
                <w:bCs/>
              </w:rPr>
            </w:pPr>
          </w:p>
        </w:tc>
        <w:tc>
          <w:tcPr>
            <w:tcW w:w="733" w:type="dxa"/>
          </w:tcPr>
          <w:p w:rsidR="00791AF1" w:rsidRPr="00E115B1" w:rsidRDefault="0004031B" w:rsidP="004D5DAB">
            <w:pPr>
              <w:jc w:val="center"/>
              <w:rPr>
                <w:bCs/>
              </w:rPr>
            </w:pPr>
            <w:r>
              <w:rPr>
                <w:bCs/>
              </w:rPr>
              <w:t>X</w:t>
            </w:r>
          </w:p>
        </w:tc>
        <w:tc>
          <w:tcPr>
            <w:tcW w:w="733" w:type="dxa"/>
          </w:tcPr>
          <w:p w:rsidR="00791AF1" w:rsidRPr="00E115B1" w:rsidRDefault="00791AF1" w:rsidP="004D5DAB">
            <w:pPr>
              <w:jc w:val="center"/>
              <w:rPr>
                <w:bCs/>
              </w:rPr>
            </w:pPr>
          </w:p>
        </w:tc>
        <w:tc>
          <w:tcPr>
            <w:tcW w:w="733" w:type="dxa"/>
          </w:tcPr>
          <w:p w:rsidR="00791AF1" w:rsidRPr="00E115B1" w:rsidRDefault="00791AF1" w:rsidP="004D5DAB">
            <w:pPr>
              <w:jc w:val="center"/>
              <w:rPr>
                <w:bCs/>
              </w:rPr>
            </w:pPr>
          </w:p>
        </w:tc>
        <w:tc>
          <w:tcPr>
            <w:tcW w:w="733" w:type="dxa"/>
          </w:tcPr>
          <w:p w:rsidR="00791AF1" w:rsidRPr="00E115B1" w:rsidRDefault="00791AF1" w:rsidP="004D5DAB">
            <w:pPr>
              <w:jc w:val="center"/>
              <w:rPr>
                <w:bCs/>
              </w:rPr>
            </w:pPr>
          </w:p>
        </w:tc>
      </w:tr>
    </w:tbl>
    <w:p w:rsidR="00791AF1" w:rsidRPr="00E115B1" w:rsidRDefault="00791AF1" w:rsidP="00791AF1">
      <w:pPr>
        <w:ind w:left="1440" w:firstLine="720"/>
        <w:jc w:val="right"/>
        <w:rPr>
          <w:bCs/>
        </w:rPr>
      </w:pPr>
      <w:r w:rsidRPr="00E115B1">
        <w:rPr>
          <w:bCs/>
        </w:rPr>
        <w:t>Total grade allocated [in 1</w:t>
      </w:r>
      <w:r w:rsidRPr="00E115B1">
        <w:rPr>
          <w:bCs/>
          <w:vertAlign w:val="superscript"/>
        </w:rPr>
        <w:t>+</w:t>
      </w:r>
      <w:proofErr w:type="gramStart"/>
      <w:r w:rsidRPr="00E115B1">
        <w:rPr>
          <w:bCs/>
        </w:rPr>
        <w:t>,1</w:t>
      </w:r>
      <w:proofErr w:type="gramEnd"/>
      <w:r w:rsidRPr="00E115B1">
        <w:rPr>
          <w:bCs/>
          <w:vertAlign w:val="superscript"/>
        </w:rPr>
        <w:t>-</w:t>
      </w:r>
      <w:r w:rsidRPr="00E115B1">
        <w:rPr>
          <w:bCs/>
        </w:rPr>
        <w:t>,2.i</w:t>
      </w:r>
      <w:r w:rsidRPr="00E115B1">
        <w:rPr>
          <w:bCs/>
          <w:vertAlign w:val="superscript"/>
        </w:rPr>
        <w:t>+</w:t>
      </w:r>
      <w:r w:rsidRPr="00E115B1">
        <w:rPr>
          <w:bCs/>
        </w:rPr>
        <w:t>,2.i</w:t>
      </w:r>
      <w:r w:rsidRPr="00E115B1">
        <w:rPr>
          <w:bCs/>
          <w:vertAlign w:val="superscript"/>
        </w:rPr>
        <w:t>-</w:t>
      </w:r>
      <w:r w:rsidRPr="00E115B1">
        <w:rPr>
          <w:bCs/>
        </w:rPr>
        <w:t>,2.ii</w:t>
      </w:r>
      <w:r w:rsidRPr="00E115B1">
        <w:rPr>
          <w:bCs/>
          <w:vertAlign w:val="superscript"/>
        </w:rPr>
        <w:t>+</w:t>
      </w:r>
      <w:r w:rsidRPr="00E115B1">
        <w:rPr>
          <w:bCs/>
        </w:rPr>
        <w:t>,2.ii</w:t>
      </w:r>
      <w:r w:rsidRPr="00E115B1">
        <w:rPr>
          <w:bCs/>
          <w:vertAlign w:val="superscript"/>
        </w:rPr>
        <w:t>-</w:t>
      </w:r>
      <w:r w:rsidRPr="00E115B1">
        <w:rPr>
          <w:bCs/>
        </w:rPr>
        <w:t>,F]:</w:t>
      </w:r>
      <w:r w:rsidRPr="00E115B1">
        <w:rPr>
          <w:bCs/>
        </w:rPr>
        <w:tab/>
      </w:r>
      <w:r w:rsidRPr="00E115B1">
        <w:rPr>
          <w:bCs/>
          <w:bdr w:val="single" w:sz="12" w:space="0" w:color="auto"/>
        </w:rPr>
        <w:t xml:space="preserve">  </w:t>
      </w:r>
      <w:r w:rsidR="0004031B">
        <w:rPr>
          <w:bCs/>
          <w:bdr w:val="single" w:sz="12" w:space="0" w:color="auto"/>
        </w:rPr>
        <w:t>2.1-</w:t>
      </w:r>
      <w:r w:rsidRPr="00E115B1">
        <w:rPr>
          <w:bCs/>
          <w:bdr w:val="single" w:sz="12" w:space="0" w:color="auto"/>
        </w:rPr>
        <w:t xml:space="preserve">     . </w:t>
      </w:r>
    </w:p>
    <w:p w:rsidR="00791AF1" w:rsidRPr="00E115B1" w:rsidRDefault="00791AF1" w:rsidP="00791AF1">
      <w:pPr>
        <w:pStyle w:val="Heading1"/>
        <w:rPr>
          <w:bCs w:val="0"/>
          <w:sz w:val="22"/>
        </w:rPr>
      </w:pPr>
      <w:r w:rsidRPr="00E115B1">
        <w:rPr>
          <w:sz w:val="22"/>
        </w:rPr>
        <w:t xml:space="preserve">Comments </w:t>
      </w:r>
      <w:proofErr w:type="gramStart"/>
      <w:r w:rsidRPr="00E115B1">
        <w:rPr>
          <w:sz w:val="22"/>
        </w:rPr>
        <w:t>And</w:t>
      </w:r>
      <w:proofErr w:type="gramEnd"/>
      <w:r w:rsidRPr="00E115B1">
        <w:rPr>
          <w:sz w:val="22"/>
        </w:rPr>
        <w:t xml:space="preserve"> Advice</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tblPr>
      <w:tblGrid>
        <w:gridCol w:w="9242"/>
      </w:tblGrid>
      <w:tr w:rsidR="00791AF1" w:rsidRPr="00E115B1" w:rsidTr="004D5DAB">
        <w:tc>
          <w:tcPr>
            <w:tcW w:w="9242" w:type="dxa"/>
          </w:tcPr>
          <w:p w:rsidR="00791AF1" w:rsidRPr="00E115B1" w:rsidRDefault="0004031B" w:rsidP="004D5DAB">
            <w:pPr>
              <w:rPr>
                <w:bCs/>
              </w:rPr>
            </w:pPr>
            <w:r>
              <w:rPr>
                <w:bCs/>
              </w:rPr>
              <w:t>The report shows a considered approach to the problem leaving the team in a position to build and test in semester two. A logical approach to decision making has been taken and the team has made sensible use of resources such as technician’s experience.</w:t>
            </w:r>
          </w:p>
          <w:p w:rsidR="00791AF1" w:rsidRPr="00E115B1" w:rsidRDefault="00457CB0" w:rsidP="004D5DAB">
            <w:pPr>
              <w:rPr>
                <w:bCs/>
              </w:rPr>
            </w:pPr>
            <w:r>
              <w:rPr>
                <w:bCs/>
              </w:rPr>
              <w:t xml:space="preserve">The literature review was very informative and showed targeted reading around all of the problems based on academically strong sources. Alternatives were weighed up in context. There wasn’t any need to quote conclusions in the Communications section. The list of references should have been arranged alphabetically. </w:t>
            </w:r>
          </w:p>
          <w:p w:rsidR="00457CB0" w:rsidRDefault="00457CB0" w:rsidP="004D5DAB">
            <w:pPr>
              <w:rPr>
                <w:bCs/>
              </w:rPr>
            </w:pPr>
            <w:r>
              <w:rPr>
                <w:bCs/>
              </w:rPr>
              <w:t xml:space="preserve">The system decomposition showed a structured approach which allowed the design strategy to be developed, utilising team members’ strengths and aspirations. I was impressed with the experimental work to develop an understanding of the problem and with the connection to theory. I think the “small angle” approximation should be less than 20 degrees (the brush can start from </w:t>
            </w:r>
            <w:r>
              <w:rPr>
                <w:bCs/>
              </w:rPr>
              <w:lastRenderedPageBreak/>
              <w:t>vertical) and this would help reduce the power required from the drive systems. It would also reduce the span or response times.</w:t>
            </w:r>
          </w:p>
          <w:p w:rsidR="00791AF1" w:rsidRPr="00E115B1" w:rsidRDefault="00E0259D" w:rsidP="004D5DAB">
            <w:pPr>
              <w:rPr>
                <w:bCs/>
              </w:rPr>
            </w:pPr>
            <w:r>
              <w:rPr>
                <w:bCs/>
              </w:rPr>
              <w:t xml:space="preserve">Control: </w:t>
            </w:r>
            <w:r w:rsidR="00457CB0">
              <w:rPr>
                <w:bCs/>
              </w:rPr>
              <w:t xml:space="preserve">Be careful how you present information. The </w:t>
            </w:r>
            <w:r>
              <w:rPr>
                <w:bCs/>
              </w:rPr>
              <w:t xml:space="preserve">implementation in </w:t>
            </w:r>
            <w:r w:rsidR="00457CB0">
              <w:rPr>
                <w:bCs/>
              </w:rPr>
              <w:t xml:space="preserve">the </w:t>
            </w:r>
            <w:r>
              <w:rPr>
                <w:bCs/>
              </w:rPr>
              <w:t xml:space="preserve">appendix gave the impression of changing parameters by eye rather than by systematic estimation (PID parameters can be chosen one by one based on observation of system response for example). </w:t>
            </w:r>
          </w:p>
          <w:p w:rsidR="0004031B" w:rsidRDefault="00702701" w:rsidP="004D5DAB">
            <w:pPr>
              <w:rPr>
                <w:bCs/>
              </w:rPr>
            </w:pPr>
            <w:bookmarkStart w:id="0" w:name="_GoBack"/>
            <w:bookmarkEnd w:id="0"/>
            <w:r>
              <w:rPr>
                <w:bCs/>
              </w:rPr>
              <w:t xml:space="preserve">Considering the CV’s: There are some very good ones and some not so good. I suggest you compare your own CV’s with the others of the group. My personal preference as regards layout was Tom’s, </w:t>
            </w:r>
            <w:r w:rsidR="0063422F">
              <w:rPr>
                <w:bCs/>
              </w:rPr>
              <w:t xml:space="preserve">Ade’s, </w:t>
            </w:r>
            <w:r>
              <w:rPr>
                <w:bCs/>
              </w:rPr>
              <w:t xml:space="preserve">Matt’s and Jonas’ were good too. </w:t>
            </w:r>
            <w:r w:rsidR="0063422F">
              <w:rPr>
                <w:bCs/>
              </w:rPr>
              <w:t xml:space="preserve">Ade, Ray, Jun and </w:t>
            </w:r>
            <w:proofErr w:type="spellStart"/>
            <w:r w:rsidR="0063422F">
              <w:rPr>
                <w:bCs/>
              </w:rPr>
              <w:t>Kokli</w:t>
            </w:r>
            <w:proofErr w:type="spellEnd"/>
            <w:r w:rsidR="0063422F">
              <w:rPr>
                <w:bCs/>
              </w:rPr>
              <w:t xml:space="preserve"> all have strong content but they are less demanding of attention. </w:t>
            </w:r>
            <w:r>
              <w:rPr>
                <w:bCs/>
              </w:rPr>
              <w:t xml:space="preserve">The content and layout for </w:t>
            </w:r>
            <w:proofErr w:type="spellStart"/>
            <w:r>
              <w:rPr>
                <w:bCs/>
              </w:rPr>
              <w:t>Faisel’s</w:t>
            </w:r>
            <w:proofErr w:type="spellEnd"/>
            <w:r>
              <w:rPr>
                <w:bCs/>
              </w:rPr>
              <w:t xml:space="preserve"> looks sparse in comparison. </w:t>
            </w:r>
          </w:p>
          <w:p w:rsidR="00791AF1" w:rsidRPr="00E115B1" w:rsidRDefault="0004031B" w:rsidP="0004031B">
            <w:pPr>
              <w:rPr>
                <w:bCs/>
              </w:rPr>
            </w:pPr>
            <w:r>
              <w:rPr>
                <w:bCs/>
              </w:rPr>
              <w:t>The writing style is quite good, consistent in most sections and the development of ideas is easy to follow. The layout of the report is clear.</w:t>
            </w:r>
          </w:p>
        </w:tc>
      </w:tr>
      <w:tr w:rsidR="00791AF1" w:rsidRPr="00E115B1" w:rsidTr="004D5DA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242" w:type="dxa"/>
          </w:tcPr>
          <w:p w:rsidR="00791AF1" w:rsidRPr="00E115B1" w:rsidRDefault="00791AF1" w:rsidP="0004031B">
            <w:pPr>
              <w:spacing w:before="120" w:after="120"/>
              <w:rPr>
                <w:bCs/>
              </w:rPr>
            </w:pPr>
            <w:r w:rsidRPr="00E115B1">
              <w:rPr>
                <w:bCs/>
              </w:rPr>
              <w:lastRenderedPageBreak/>
              <w:t>Project Team Assessor(s)</w:t>
            </w:r>
            <w:proofErr w:type="gramStart"/>
            <w:r w:rsidRPr="00E115B1">
              <w:rPr>
                <w:bCs/>
              </w:rPr>
              <w:t xml:space="preserve">:  . . </w:t>
            </w:r>
            <w:proofErr w:type="gramEnd"/>
            <w:r w:rsidR="0004031B">
              <w:rPr>
                <w:bCs/>
              </w:rPr>
              <w:t>Tim Jackson</w:t>
            </w:r>
            <w:r w:rsidRPr="00E115B1">
              <w:rPr>
                <w:bCs/>
              </w:rPr>
              <w:t xml:space="preserve">. . . . . . . . . . . . . . . . . . . . . . . . . . . . .. . . .  Date:  </w:t>
            </w:r>
            <w:r w:rsidR="0004031B">
              <w:rPr>
                <w:bCs/>
              </w:rPr>
              <w:t>17/1/2014</w:t>
            </w:r>
            <w:r w:rsidRPr="00E115B1">
              <w:rPr>
                <w:bCs/>
              </w:rPr>
              <w:t xml:space="preserve"> . . . . . . . .</w:t>
            </w:r>
          </w:p>
        </w:tc>
      </w:tr>
    </w:tbl>
    <w:p w:rsidR="000460C1" w:rsidRDefault="0004031B" w:rsidP="00791AF1"/>
    <w:sectPr w:rsidR="000460C1" w:rsidSect="00791AF1">
      <w:pgSz w:w="11906" w:h="16838"/>
      <w:pgMar w:top="993"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1AF1"/>
    <w:rsid w:val="0004031B"/>
    <w:rsid w:val="00457CB0"/>
    <w:rsid w:val="005F571C"/>
    <w:rsid w:val="0063422F"/>
    <w:rsid w:val="00702701"/>
    <w:rsid w:val="00791AF1"/>
    <w:rsid w:val="00C5775D"/>
    <w:rsid w:val="00DE3C1E"/>
    <w:rsid w:val="00E0259D"/>
    <w:rsid w:val="00EB10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5D"/>
  </w:style>
  <w:style w:type="paragraph" w:styleId="Heading1">
    <w:name w:val="heading 1"/>
    <w:basedOn w:val="Normal"/>
    <w:next w:val="Normal"/>
    <w:link w:val="Heading1Char"/>
    <w:qFormat/>
    <w:rsid w:val="00791AF1"/>
    <w:pPr>
      <w:keepNext/>
      <w:spacing w:after="0" w:line="240" w:lineRule="auto"/>
      <w:jc w:val="both"/>
      <w:outlineLvl w:val="0"/>
    </w:pPr>
    <w:rPr>
      <w:rFonts w:ascii="Times New Roman" w:eastAsia="Times New Roman" w:hAnsi="Times New Roman" w:cs="Times New Roman"/>
      <w:b/>
      <w:bCs/>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1AF1"/>
    <w:rPr>
      <w:rFonts w:ascii="Times New Roman" w:eastAsia="Times New Roman" w:hAnsi="Times New Roman" w:cs="Times New Roman"/>
      <w:b/>
      <w:bCs/>
      <w:sz w:val="28"/>
      <w:szCs w:val="26"/>
      <w:lang w:val="en-US"/>
    </w:rPr>
  </w:style>
  <w:style w:type="paragraph" w:styleId="BodyText">
    <w:name w:val="Body Text"/>
    <w:basedOn w:val="Normal"/>
    <w:link w:val="BodyTextChar"/>
    <w:rsid w:val="00791AF1"/>
    <w:pPr>
      <w:spacing w:after="0" w:line="240" w:lineRule="auto"/>
      <w:jc w:val="both"/>
    </w:pPr>
    <w:rPr>
      <w:rFonts w:ascii="Times New Roman" w:eastAsia="Times New Roman" w:hAnsi="Times New Roman" w:cs="Times New Roman"/>
      <w:sz w:val="24"/>
      <w:szCs w:val="18"/>
      <w:lang w:val="en-US"/>
    </w:rPr>
  </w:style>
  <w:style w:type="character" w:customStyle="1" w:styleId="BodyTextChar">
    <w:name w:val="Body Text Char"/>
    <w:basedOn w:val="DefaultParagraphFont"/>
    <w:link w:val="BodyText"/>
    <w:rsid w:val="00791AF1"/>
    <w:rPr>
      <w:rFonts w:ascii="Times New Roman" w:eastAsia="Times New Roman" w:hAnsi="Times New Roman" w:cs="Times New Roman"/>
      <w:sz w:val="24"/>
      <w:szCs w:val="18"/>
      <w:lang w:val="en-US"/>
    </w:rPr>
  </w:style>
  <w:style w:type="paragraph" w:styleId="Caption">
    <w:name w:val="caption"/>
    <w:basedOn w:val="Normal"/>
    <w:next w:val="Normal"/>
    <w:qFormat/>
    <w:rsid w:val="00791AF1"/>
    <w:pPr>
      <w:spacing w:after="0" w:line="240" w:lineRule="auto"/>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91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A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91AF1"/>
    <w:pPr>
      <w:keepNext/>
      <w:spacing w:after="0" w:line="240" w:lineRule="auto"/>
      <w:jc w:val="both"/>
      <w:outlineLvl w:val="0"/>
    </w:pPr>
    <w:rPr>
      <w:rFonts w:ascii="Times New Roman" w:eastAsia="Times New Roman" w:hAnsi="Times New Roman" w:cs="Times New Roman"/>
      <w:b/>
      <w:bCs/>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1AF1"/>
    <w:rPr>
      <w:rFonts w:ascii="Times New Roman" w:eastAsia="Times New Roman" w:hAnsi="Times New Roman" w:cs="Times New Roman"/>
      <w:b/>
      <w:bCs/>
      <w:sz w:val="28"/>
      <w:szCs w:val="26"/>
      <w:lang w:val="en-US"/>
    </w:rPr>
  </w:style>
  <w:style w:type="paragraph" w:styleId="BodyText">
    <w:name w:val="Body Text"/>
    <w:basedOn w:val="Normal"/>
    <w:link w:val="BodyTextChar"/>
    <w:rsid w:val="00791AF1"/>
    <w:pPr>
      <w:spacing w:after="0" w:line="240" w:lineRule="auto"/>
      <w:jc w:val="both"/>
    </w:pPr>
    <w:rPr>
      <w:rFonts w:ascii="Times New Roman" w:eastAsia="Times New Roman" w:hAnsi="Times New Roman" w:cs="Times New Roman"/>
      <w:sz w:val="24"/>
      <w:szCs w:val="18"/>
      <w:lang w:val="en-US"/>
    </w:rPr>
  </w:style>
  <w:style w:type="character" w:customStyle="1" w:styleId="BodyTextChar">
    <w:name w:val="Body Text Char"/>
    <w:basedOn w:val="DefaultParagraphFont"/>
    <w:link w:val="BodyText"/>
    <w:rsid w:val="00791AF1"/>
    <w:rPr>
      <w:rFonts w:ascii="Times New Roman" w:eastAsia="Times New Roman" w:hAnsi="Times New Roman" w:cs="Times New Roman"/>
      <w:sz w:val="24"/>
      <w:szCs w:val="18"/>
      <w:lang w:val="en-US"/>
    </w:rPr>
  </w:style>
  <w:style w:type="paragraph" w:styleId="Caption">
    <w:name w:val="caption"/>
    <w:basedOn w:val="Normal"/>
    <w:next w:val="Normal"/>
    <w:qFormat/>
    <w:rsid w:val="00791AF1"/>
    <w:pPr>
      <w:spacing w:after="0" w:line="240" w:lineRule="auto"/>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91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A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College of EPS</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Spann</dc:creator>
  <cp:lastModifiedBy>jacksotj</cp:lastModifiedBy>
  <cp:revision>4</cp:revision>
  <dcterms:created xsi:type="dcterms:W3CDTF">2014-01-17T09:06:00Z</dcterms:created>
  <dcterms:modified xsi:type="dcterms:W3CDTF">2014-01-17T16:44:00Z</dcterms:modified>
</cp:coreProperties>
</file>